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66DE3" w14:textId="7634673F" w:rsidR="00A706DC" w:rsidRPr="00950D8C" w:rsidRDefault="00E3612F">
      <w:pPr>
        <w:rPr>
          <w:b/>
          <w:sz w:val="44"/>
          <w:szCs w:val="44"/>
        </w:rPr>
      </w:pPr>
      <w:r>
        <w:rPr>
          <w:b/>
          <w:sz w:val="44"/>
          <w:szCs w:val="44"/>
        </w:rPr>
        <w:t>M1</w:t>
      </w:r>
      <w:r w:rsidR="00CA233B">
        <w:rPr>
          <w:b/>
          <w:sz w:val="44"/>
          <w:szCs w:val="44"/>
        </w:rPr>
        <w:t xml:space="preserve">9 Climate Change </w:t>
      </w:r>
    </w:p>
    <w:p w14:paraId="17CAFA6F" w14:textId="0774F63B" w:rsidR="00BB6EAB" w:rsidRDefault="008223B6">
      <w:pPr>
        <w:rPr>
          <w:rFonts w:cs="Calibri"/>
          <w:sz w:val="24"/>
          <w:szCs w:val="24"/>
        </w:rPr>
      </w:pPr>
      <w:r w:rsidRPr="00CA233B">
        <w:rPr>
          <w:rFonts w:cs="Calibri"/>
          <w:sz w:val="24"/>
          <w:szCs w:val="24"/>
        </w:rPr>
        <w:t>(ISO</w:t>
      </w:r>
      <w:r w:rsidR="002E2280" w:rsidRPr="00CA233B">
        <w:rPr>
          <w:rFonts w:cs="Calibri"/>
          <w:sz w:val="24"/>
          <w:szCs w:val="24"/>
        </w:rPr>
        <w:t xml:space="preserve"> </w:t>
      </w:r>
      <w:r w:rsidR="00CA233B" w:rsidRPr="00CA233B">
        <w:rPr>
          <w:rFonts w:cs="Calibri"/>
          <w:sz w:val="24"/>
          <w:szCs w:val="24"/>
        </w:rPr>
        <w:t>9001:</w:t>
      </w:r>
      <w:r w:rsidRPr="00CA233B">
        <w:rPr>
          <w:rFonts w:cs="Calibri"/>
          <w:sz w:val="24"/>
          <w:szCs w:val="24"/>
        </w:rPr>
        <w:t xml:space="preserve"> </w:t>
      </w:r>
      <w:r w:rsidR="00CA233B" w:rsidRPr="00CA233B">
        <w:rPr>
          <w:rFonts w:cs="Calibri"/>
          <w:sz w:val="24"/>
          <w:szCs w:val="24"/>
        </w:rPr>
        <w:t>2015, Clauses 4.1. and 4.2</w:t>
      </w:r>
      <w:r w:rsidRPr="00CA233B">
        <w:rPr>
          <w:rFonts w:cs="Calibri"/>
          <w:sz w:val="24"/>
          <w:szCs w:val="24"/>
        </w:rPr>
        <w:t>)</w:t>
      </w:r>
    </w:p>
    <w:p w14:paraId="78FAF4DD"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Section: Environmental and Regulatory Integration in Freight Forwarding Operations</w:t>
      </w:r>
    </w:p>
    <w:p w14:paraId="4E90C4CF"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Contextual Reference: ISO 9001:2015 Clauses 4.1 &amp; 4.2</w:t>
      </w:r>
    </w:p>
    <w:p w14:paraId="22DB233A" w14:textId="77777777" w:rsidR="00BB6EAB" w:rsidRPr="00BB6EAB" w:rsidRDefault="007C5305" w:rsidP="00BB6EAB">
      <w:pPr>
        <w:rPr>
          <w:rFonts w:eastAsia="Times New Roman" w:cs="Calibri"/>
          <w:lang w:eastAsia="en-GB"/>
        </w:rPr>
      </w:pPr>
      <w:r>
        <w:rPr>
          <w:rFonts w:eastAsia="Times New Roman" w:cs="Calibri"/>
          <w:lang w:eastAsia="en-GB"/>
        </w:rPr>
        <w:pict w14:anchorId="4C0BD6E9">
          <v:rect id="_x0000_i1025" style="width:0;height:1.5pt" o:hralign="center" o:hrstd="t" o:hr="t" fillcolor="#a0a0a0" stroked="f"/>
        </w:pict>
      </w:r>
    </w:p>
    <w:p w14:paraId="4BE31C5F"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1.0 Purpose</w:t>
      </w:r>
    </w:p>
    <w:p w14:paraId="62C43A1B" w14:textId="76521B82" w:rsidR="00BB6EAB" w:rsidRPr="00BB6EAB" w:rsidRDefault="00BB6EAB" w:rsidP="00BB6EAB">
      <w:pPr>
        <w:spacing w:before="100" w:beforeAutospacing="1" w:after="100" w:afterAutospacing="1"/>
        <w:rPr>
          <w:rFonts w:eastAsia="Times New Roman" w:cs="Calibri"/>
          <w:lang w:eastAsia="en-GB"/>
        </w:rPr>
      </w:pPr>
      <w:r>
        <w:rPr>
          <w:rFonts w:eastAsia="Times New Roman" w:cs="Calibri"/>
          <w:lang w:eastAsia="en-GB"/>
        </w:rPr>
        <w:t xml:space="preserve">The business is committed to considering climate change in the context of its QMS. </w:t>
      </w:r>
      <w:r w:rsidRPr="00BB6EAB">
        <w:rPr>
          <w:rFonts w:eastAsia="Times New Roman" w:cs="Calibri"/>
          <w:lang w:eastAsia="en-GB"/>
        </w:rPr>
        <w:t>This section outlines how the organization integrates statutory and regulatory requirements concerning climate change into its freight forwarding activities. It ensures compliance with UK environmental laws and supports sustainable transport practices within the framework of ISO 9001:2015, focusing on clauses 4.1 and 4.2.</w:t>
      </w:r>
    </w:p>
    <w:p w14:paraId="1CF61698" w14:textId="77777777" w:rsidR="00BB6EAB" w:rsidRPr="00BB6EAB" w:rsidRDefault="007C5305" w:rsidP="00BB6EAB">
      <w:pPr>
        <w:rPr>
          <w:rFonts w:eastAsia="Times New Roman" w:cs="Calibri"/>
          <w:lang w:eastAsia="en-GB"/>
        </w:rPr>
      </w:pPr>
      <w:r>
        <w:rPr>
          <w:rFonts w:eastAsia="Times New Roman" w:cs="Calibri"/>
          <w:lang w:eastAsia="en-GB"/>
        </w:rPr>
        <w:pict w14:anchorId="7D40827B">
          <v:rect id="_x0000_i1026" style="width:0;height:1.5pt" o:hralign="center" o:hrstd="t" o:hr="t" fillcolor="#a0a0a0" stroked="f"/>
        </w:pict>
      </w:r>
    </w:p>
    <w:p w14:paraId="27CD9791"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2.0 Scope</w:t>
      </w:r>
    </w:p>
    <w:p w14:paraId="153C610E"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Applies to all operational processes involved in UK-based and international freight forwarding activities, including road, rail, sea, and air logistics. This update addresses:</w:t>
      </w:r>
    </w:p>
    <w:p w14:paraId="48642596" w14:textId="77777777" w:rsidR="00BB6EAB" w:rsidRPr="00BB6EAB" w:rsidRDefault="00BB6EAB" w:rsidP="00BB6EAB">
      <w:pPr>
        <w:numPr>
          <w:ilvl w:val="0"/>
          <w:numId w:val="29"/>
        </w:numPr>
        <w:spacing w:before="100" w:beforeAutospacing="1" w:after="100" w:afterAutospacing="1"/>
        <w:rPr>
          <w:rFonts w:eastAsia="Times New Roman" w:cs="Calibri"/>
          <w:lang w:eastAsia="en-GB"/>
        </w:rPr>
      </w:pPr>
      <w:r w:rsidRPr="00BB6EAB">
        <w:rPr>
          <w:rFonts w:eastAsia="Times New Roman" w:cs="Calibri"/>
          <w:lang w:eastAsia="en-GB"/>
        </w:rPr>
        <w:t>Sustainable transport initiatives</w:t>
      </w:r>
    </w:p>
    <w:p w14:paraId="4502BA9E" w14:textId="77777777" w:rsidR="00BB6EAB" w:rsidRPr="00BB6EAB" w:rsidRDefault="00BB6EAB" w:rsidP="00BB6EAB">
      <w:pPr>
        <w:numPr>
          <w:ilvl w:val="0"/>
          <w:numId w:val="29"/>
        </w:numPr>
        <w:spacing w:before="100" w:beforeAutospacing="1" w:after="100" w:afterAutospacing="1"/>
        <w:rPr>
          <w:rFonts w:eastAsia="Times New Roman" w:cs="Calibri"/>
          <w:lang w:eastAsia="en-GB"/>
        </w:rPr>
      </w:pPr>
      <w:r w:rsidRPr="00BB6EAB">
        <w:rPr>
          <w:rFonts w:eastAsia="Times New Roman" w:cs="Calibri"/>
          <w:lang w:eastAsia="en-GB"/>
        </w:rPr>
        <w:t>Carbon emissions calculation in quotations</w:t>
      </w:r>
    </w:p>
    <w:p w14:paraId="14BE120C" w14:textId="77777777" w:rsidR="00BB6EAB" w:rsidRPr="00BB6EAB" w:rsidRDefault="00BB6EAB" w:rsidP="00BB6EAB">
      <w:pPr>
        <w:numPr>
          <w:ilvl w:val="0"/>
          <w:numId w:val="29"/>
        </w:numPr>
        <w:spacing w:before="100" w:beforeAutospacing="1" w:after="100" w:afterAutospacing="1"/>
        <w:rPr>
          <w:rFonts w:eastAsia="Times New Roman" w:cs="Calibri"/>
          <w:lang w:eastAsia="en-GB"/>
        </w:rPr>
      </w:pPr>
      <w:r w:rsidRPr="00BB6EAB">
        <w:rPr>
          <w:rFonts w:eastAsia="Times New Roman" w:cs="Calibri"/>
          <w:lang w:eastAsia="en-GB"/>
        </w:rPr>
        <w:t>Modal shift planning</w:t>
      </w:r>
    </w:p>
    <w:p w14:paraId="36F2D4FD" w14:textId="77777777" w:rsidR="00B579E4" w:rsidRDefault="00BB6EAB" w:rsidP="00B579E4">
      <w:pPr>
        <w:numPr>
          <w:ilvl w:val="0"/>
          <w:numId w:val="29"/>
        </w:numPr>
        <w:spacing w:before="100" w:beforeAutospacing="1" w:after="100" w:afterAutospacing="1"/>
        <w:rPr>
          <w:rFonts w:eastAsia="Times New Roman" w:cs="Calibri"/>
          <w:lang w:eastAsia="en-GB"/>
        </w:rPr>
      </w:pPr>
      <w:r w:rsidRPr="00BB6EAB">
        <w:rPr>
          <w:rFonts w:eastAsia="Times New Roman" w:cs="Calibri"/>
          <w:lang w:eastAsia="en-GB"/>
        </w:rPr>
        <w:t>Compliance with relevant environmental regulations</w:t>
      </w:r>
    </w:p>
    <w:p w14:paraId="67A2179D" w14:textId="20E97323" w:rsidR="003C0B07" w:rsidRPr="00B579E4" w:rsidRDefault="003C0B07" w:rsidP="00B579E4">
      <w:pPr>
        <w:numPr>
          <w:ilvl w:val="0"/>
          <w:numId w:val="29"/>
        </w:numPr>
        <w:spacing w:before="100" w:beforeAutospacing="1" w:after="100" w:afterAutospacing="1"/>
        <w:rPr>
          <w:rFonts w:eastAsia="Times New Roman" w:cs="Calibri"/>
          <w:lang w:eastAsia="en-GB"/>
        </w:rPr>
      </w:pPr>
      <w:r>
        <w:t>Impact of climate change on logistics performance</w:t>
      </w:r>
    </w:p>
    <w:p w14:paraId="22D3B144" w14:textId="77777777" w:rsidR="00BB6EAB" w:rsidRPr="00BB6EAB" w:rsidRDefault="007C5305" w:rsidP="00BB6EAB">
      <w:pPr>
        <w:rPr>
          <w:rFonts w:eastAsia="Times New Roman" w:cs="Calibri"/>
          <w:lang w:eastAsia="en-GB"/>
        </w:rPr>
      </w:pPr>
      <w:r>
        <w:rPr>
          <w:rFonts w:eastAsia="Times New Roman" w:cs="Calibri"/>
          <w:lang w:eastAsia="en-GB"/>
        </w:rPr>
        <w:pict w14:anchorId="2EDAA0B8">
          <v:rect id="_x0000_i1027" style="width:0;height:1.5pt" o:hralign="center" o:hrstd="t" o:hr="t" fillcolor="#a0a0a0" stroked="f"/>
        </w:pict>
      </w:r>
    </w:p>
    <w:p w14:paraId="2E444E54"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3.0 Context of the Organization (Clause 4.1)</w:t>
      </w:r>
    </w:p>
    <w:p w14:paraId="0D7DB114"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The organization continually evaluates:</w:t>
      </w:r>
    </w:p>
    <w:p w14:paraId="7F4D4014" w14:textId="77777777" w:rsidR="00040C0D" w:rsidRDefault="00BB6EAB" w:rsidP="00040C0D">
      <w:pPr>
        <w:numPr>
          <w:ilvl w:val="0"/>
          <w:numId w:val="30"/>
        </w:numPr>
        <w:spacing w:before="100" w:beforeAutospacing="1" w:after="100" w:afterAutospacing="1"/>
        <w:rPr>
          <w:rFonts w:eastAsia="Times New Roman" w:cs="Calibri"/>
          <w:lang w:eastAsia="en-GB"/>
        </w:rPr>
      </w:pPr>
      <w:r w:rsidRPr="00BB6EAB">
        <w:rPr>
          <w:rFonts w:eastAsia="Times New Roman" w:cs="Calibri"/>
          <w:lang w:eastAsia="en-GB"/>
        </w:rPr>
        <w:t>External issues: Regulatory changes (e.g., Climate Change Act 2008, Environment Act 2021), emissions trading schemes, and decarbonization targets</w:t>
      </w:r>
    </w:p>
    <w:p w14:paraId="0117B1D2" w14:textId="77777777" w:rsidR="00040C0D" w:rsidRPr="00040C0D" w:rsidRDefault="00BB6EAB" w:rsidP="00040C0D">
      <w:pPr>
        <w:numPr>
          <w:ilvl w:val="0"/>
          <w:numId w:val="30"/>
        </w:numPr>
        <w:spacing w:before="100" w:beforeAutospacing="1" w:after="100" w:afterAutospacing="1"/>
        <w:rPr>
          <w:rFonts w:eastAsia="Times New Roman" w:cs="Calibri"/>
          <w:lang w:eastAsia="en-GB"/>
        </w:rPr>
      </w:pPr>
      <w:r w:rsidRPr="00040C0D">
        <w:rPr>
          <w:rFonts w:cs="Calibri"/>
        </w:rPr>
        <w:t>Internal issues: Operational practices, carbon footprint, and capability to transition to greener transport</w:t>
      </w:r>
    </w:p>
    <w:p w14:paraId="37CE0060" w14:textId="13747A62" w:rsidR="00BB6EAB" w:rsidRPr="00040C0D" w:rsidRDefault="00040C0D" w:rsidP="00040C0D">
      <w:pPr>
        <w:numPr>
          <w:ilvl w:val="0"/>
          <w:numId w:val="30"/>
        </w:numPr>
        <w:spacing w:before="100" w:beforeAutospacing="1" w:after="100" w:afterAutospacing="1"/>
        <w:rPr>
          <w:rFonts w:eastAsia="Times New Roman" w:cs="Calibri"/>
          <w:lang w:eastAsia="en-GB"/>
        </w:rPr>
      </w:pPr>
      <w:r>
        <w:t>Climate-related risks: Disruptive weather events such as flooding, high winds, heatwaves, and snow, which can delay collections, affect port sailings</w:t>
      </w:r>
      <w:r w:rsidR="003B0272">
        <w:t>/arrivals</w:t>
      </w:r>
      <w:r>
        <w:t>, and compromise timely deliveries</w:t>
      </w:r>
    </w:p>
    <w:p w14:paraId="74F139CA"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These evaluations support strategic planning and are reviewed annually or as regulatory conditions change.</w:t>
      </w:r>
    </w:p>
    <w:p w14:paraId="6542EF32" w14:textId="77777777" w:rsidR="00BB6EAB" w:rsidRPr="00BB6EAB" w:rsidRDefault="007C5305" w:rsidP="00BB6EAB">
      <w:pPr>
        <w:rPr>
          <w:rFonts w:eastAsia="Times New Roman" w:cs="Calibri"/>
          <w:lang w:eastAsia="en-GB"/>
        </w:rPr>
      </w:pPr>
      <w:r>
        <w:rPr>
          <w:rFonts w:eastAsia="Times New Roman" w:cs="Calibri"/>
          <w:lang w:eastAsia="en-GB"/>
        </w:rPr>
        <w:lastRenderedPageBreak/>
        <w:pict w14:anchorId="14548C63">
          <v:rect id="_x0000_i1028" style="width:0;height:1.5pt" o:hralign="center" o:hrstd="t" o:hr="t" fillcolor="#a0a0a0" stroked="f"/>
        </w:pict>
      </w:r>
    </w:p>
    <w:p w14:paraId="53DF31E5"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4.0 Needs and Expectations of Interested Parties (Clause 4.2)</w:t>
      </w:r>
    </w:p>
    <w:p w14:paraId="348A0B23"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Interested parties include:</w:t>
      </w:r>
    </w:p>
    <w:p w14:paraId="2EDA1B9A" w14:textId="77777777" w:rsidR="00BB6EAB" w:rsidRPr="00BB6EAB" w:rsidRDefault="00BB6EAB" w:rsidP="00BB6EAB">
      <w:pPr>
        <w:numPr>
          <w:ilvl w:val="0"/>
          <w:numId w:val="31"/>
        </w:numPr>
        <w:spacing w:before="100" w:beforeAutospacing="1" w:after="100" w:afterAutospacing="1"/>
        <w:rPr>
          <w:rFonts w:eastAsia="Times New Roman" w:cs="Calibri"/>
          <w:lang w:eastAsia="en-GB"/>
        </w:rPr>
      </w:pPr>
      <w:r w:rsidRPr="00BB6EAB">
        <w:rPr>
          <w:rFonts w:eastAsia="Times New Roman" w:cs="Calibri"/>
          <w:lang w:eastAsia="en-GB"/>
        </w:rPr>
        <w:t>Regulatory bodies (e.g., DEFRA, Department for Transport)</w:t>
      </w:r>
    </w:p>
    <w:p w14:paraId="0061AD47" w14:textId="77777777" w:rsidR="00BB6EAB" w:rsidRPr="00BB6EAB" w:rsidRDefault="00BB6EAB" w:rsidP="00BB6EAB">
      <w:pPr>
        <w:numPr>
          <w:ilvl w:val="0"/>
          <w:numId w:val="31"/>
        </w:numPr>
        <w:spacing w:before="100" w:beforeAutospacing="1" w:after="100" w:afterAutospacing="1"/>
        <w:rPr>
          <w:rFonts w:eastAsia="Times New Roman" w:cs="Calibri"/>
          <w:lang w:eastAsia="en-GB"/>
        </w:rPr>
      </w:pPr>
      <w:r w:rsidRPr="00BB6EAB">
        <w:rPr>
          <w:rFonts w:eastAsia="Times New Roman" w:cs="Calibri"/>
          <w:lang w:eastAsia="en-GB"/>
        </w:rPr>
        <w:t>Customers requiring emissions data and green transport options</w:t>
      </w:r>
    </w:p>
    <w:p w14:paraId="3E413776" w14:textId="77777777" w:rsidR="00BB6EAB" w:rsidRPr="00BB6EAB" w:rsidRDefault="00BB6EAB" w:rsidP="00BB6EAB">
      <w:pPr>
        <w:numPr>
          <w:ilvl w:val="0"/>
          <w:numId w:val="31"/>
        </w:numPr>
        <w:spacing w:before="100" w:beforeAutospacing="1" w:after="100" w:afterAutospacing="1"/>
        <w:rPr>
          <w:rFonts w:eastAsia="Times New Roman" w:cs="Calibri"/>
          <w:lang w:eastAsia="en-GB"/>
        </w:rPr>
      </w:pPr>
      <w:r w:rsidRPr="00BB6EAB">
        <w:rPr>
          <w:rFonts w:eastAsia="Times New Roman" w:cs="Calibri"/>
          <w:lang w:eastAsia="en-GB"/>
        </w:rPr>
        <w:t>Local communities affected by logistics operations</w:t>
      </w:r>
    </w:p>
    <w:p w14:paraId="66F98C53" w14:textId="77777777" w:rsidR="00BB6EAB" w:rsidRPr="00BB6EAB" w:rsidRDefault="00BB6EAB" w:rsidP="00BB6EAB">
      <w:pPr>
        <w:numPr>
          <w:ilvl w:val="0"/>
          <w:numId w:val="31"/>
        </w:numPr>
        <w:spacing w:before="100" w:beforeAutospacing="1" w:after="100" w:afterAutospacing="1"/>
        <w:rPr>
          <w:rFonts w:eastAsia="Times New Roman" w:cs="Calibri"/>
          <w:lang w:eastAsia="en-GB"/>
        </w:rPr>
      </w:pPr>
      <w:r w:rsidRPr="00BB6EAB">
        <w:rPr>
          <w:rFonts w:eastAsia="Times New Roman" w:cs="Calibri"/>
          <w:lang w:eastAsia="en-GB"/>
        </w:rPr>
        <w:t>Shareholders concerned with ESG performance</w:t>
      </w:r>
    </w:p>
    <w:p w14:paraId="0E8927F1"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Their needs are gathered via surveys, regulatory updates, customer feedback, and contractual requirements.</w:t>
      </w:r>
    </w:p>
    <w:p w14:paraId="3ECE0F95" w14:textId="77777777" w:rsidR="00BB6EAB" w:rsidRPr="00BB6EAB" w:rsidRDefault="007C5305" w:rsidP="00BB6EAB">
      <w:pPr>
        <w:rPr>
          <w:rFonts w:eastAsia="Times New Roman" w:cs="Calibri"/>
          <w:lang w:eastAsia="en-GB"/>
        </w:rPr>
      </w:pPr>
      <w:r>
        <w:rPr>
          <w:rFonts w:eastAsia="Times New Roman" w:cs="Calibri"/>
          <w:lang w:eastAsia="en-GB"/>
        </w:rPr>
        <w:pict w14:anchorId="0A9A67C4">
          <v:rect id="_x0000_i1029" style="width:0;height:1.5pt" o:hralign="center" o:hrstd="t" o:hr="t" fillcolor="#a0a0a0" stroked="f"/>
        </w:pict>
      </w:r>
    </w:p>
    <w:p w14:paraId="0238A877"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5.0 Regulatory Compliance</w:t>
      </w:r>
    </w:p>
    <w:p w14:paraId="52A38ED5"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A legal register is maintained, listing current climate-related regulations and obligations. The Compliance Officer ensures:</w:t>
      </w:r>
    </w:p>
    <w:p w14:paraId="67AB64A9" w14:textId="77777777" w:rsidR="00BB6EAB" w:rsidRPr="00BB6EAB" w:rsidRDefault="00BB6EAB" w:rsidP="00BB6EAB">
      <w:pPr>
        <w:numPr>
          <w:ilvl w:val="0"/>
          <w:numId w:val="32"/>
        </w:numPr>
        <w:spacing w:before="100" w:beforeAutospacing="1" w:after="100" w:afterAutospacing="1"/>
        <w:rPr>
          <w:rFonts w:eastAsia="Times New Roman" w:cs="Calibri"/>
          <w:lang w:eastAsia="en-GB"/>
        </w:rPr>
      </w:pPr>
      <w:r w:rsidRPr="00BB6EAB">
        <w:rPr>
          <w:rFonts w:eastAsia="Times New Roman" w:cs="Calibri"/>
          <w:lang w:eastAsia="en-GB"/>
        </w:rPr>
        <w:t>Regular updates to the register</w:t>
      </w:r>
    </w:p>
    <w:p w14:paraId="35418BB9" w14:textId="77777777" w:rsidR="00BB6EAB" w:rsidRPr="00BB6EAB" w:rsidRDefault="00BB6EAB" w:rsidP="00BB6EAB">
      <w:pPr>
        <w:numPr>
          <w:ilvl w:val="0"/>
          <w:numId w:val="32"/>
        </w:numPr>
        <w:spacing w:before="100" w:beforeAutospacing="1" w:after="100" w:afterAutospacing="1"/>
        <w:rPr>
          <w:rFonts w:eastAsia="Times New Roman" w:cs="Calibri"/>
          <w:lang w:eastAsia="en-GB"/>
        </w:rPr>
      </w:pPr>
      <w:r w:rsidRPr="00BB6EAB">
        <w:rPr>
          <w:rFonts w:eastAsia="Times New Roman" w:cs="Calibri"/>
          <w:lang w:eastAsia="en-GB"/>
        </w:rPr>
        <w:t>Integration into operational planning</w:t>
      </w:r>
    </w:p>
    <w:p w14:paraId="2E9A1A5D" w14:textId="77777777" w:rsidR="00BB6EAB" w:rsidRPr="00BB6EAB" w:rsidRDefault="00BB6EAB" w:rsidP="00BB6EAB">
      <w:pPr>
        <w:numPr>
          <w:ilvl w:val="0"/>
          <w:numId w:val="32"/>
        </w:numPr>
        <w:spacing w:before="100" w:beforeAutospacing="1" w:after="100" w:afterAutospacing="1"/>
        <w:rPr>
          <w:rFonts w:eastAsia="Times New Roman" w:cs="Calibri"/>
          <w:lang w:eastAsia="en-GB"/>
        </w:rPr>
      </w:pPr>
      <w:r w:rsidRPr="00BB6EAB">
        <w:rPr>
          <w:rFonts w:eastAsia="Times New Roman" w:cs="Calibri"/>
          <w:lang w:eastAsia="en-GB"/>
        </w:rPr>
        <w:t>Periodic audits to verify adherence</w:t>
      </w:r>
    </w:p>
    <w:p w14:paraId="68F239AD" w14:textId="77777777" w:rsidR="00BB6EAB" w:rsidRPr="00BB6EAB" w:rsidRDefault="007C5305" w:rsidP="00BB6EAB">
      <w:pPr>
        <w:rPr>
          <w:rFonts w:eastAsia="Times New Roman" w:cs="Calibri"/>
          <w:lang w:eastAsia="en-GB"/>
        </w:rPr>
      </w:pPr>
      <w:r>
        <w:rPr>
          <w:rFonts w:eastAsia="Times New Roman" w:cs="Calibri"/>
          <w:lang w:eastAsia="en-GB"/>
        </w:rPr>
        <w:pict w14:anchorId="608B8DB6">
          <v:rect id="_x0000_i1030" style="width:0;height:1.5pt" o:hralign="center" o:hrstd="t" o:hr="t" fillcolor="#a0a0a0" stroked="f"/>
        </w:pict>
      </w:r>
    </w:p>
    <w:p w14:paraId="2F9B7E29"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6.0 Modal Shift Strategy</w:t>
      </w:r>
    </w:p>
    <w:p w14:paraId="7B43BC57"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The organization promotes a shift from road to rail, inland waterways, and other low-carbon transport where feasible. Criteria for modal shift decisions include:</w:t>
      </w:r>
    </w:p>
    <w:p w14:paraId="709D4073" w14:textId="77777777" w:rsidR="00BB6EAB" w:rsidRPr="00BB6EAB" w:rsidRDefault="00BB6EAB" w:rsidP="00BB6EAB">
      <w:pPr>
        <w:numPr>
          <w:ilvl w:val="0"/>
          <w:numId w:val="33"/>
        </w:numPr>
        <w:spacing w:before="100" w:beforeAutospacing="1" w:after="100" w:afterAutospacing="1"/>
        <w:rPr>
          <w:rFonts w:eastAsia="Times New Roman" w:cs="Calibri"/>
          <w:lang w:eastAsia="en-GB"/>
        </w:rPr>
      </w:pPr>
      <w:r w:rsidRPr="00BB6EAB">
        <w:rPr>
          <w:rFonts w:eastAsia="Times New Roman" w:cs="Calibri"/>
          <w:lang w:eastAsia="en-GB"/>
        </w:rPr>
        <w:t>Emissions per tonne-kilometre</w:t>
      </w:r>
    </w:p>
    <w:p w14:paraId="5BBE7CE1" w14:textId="77777777" w:rsidR="00BB6EAB" w:rsidRPr="00BB6EAB" w:rsidRDefault="00BB6EAB" w:rsidP="00BB6EAB">
      <w:pPr>
        <w:numPr>
          <w:ilvl w:val="0"/>
          <w:numId w:val="33"/>
        </w:numPr>
        <w:spacing w:before="100" w:beforeAutospacing="1" w:after="100" w:afterAutospacing="1"/>
        <w:rPr>
          <w:rFonts w:eastAsia="Times New Roman" w:cs="Calibri"/>
          <w:lang w:eastAsia="en-GB"/>
        </w:rPr>
      </w:pPr>
      <w:r w:rsidRPr="00BB6EAB">
        <w:rPr>
          <w:rFonts w:eastAsia="Times New Roman" w:cs="Calibri"/>
          <w:lang w:eastAsia="en-GB"/>
        </w:rPr>
        <w:t>Cost implications</w:t>
      </w:r>
    </w:p>
    <w:p w14:paraId="35C99C61" w14:textId="77777777" w:rsidR="00BB6EAB" w:rsidRPr="00BB6EAB" w:rsidRDefault="00BB6EAB" w:rsidP="00BB6EAB">
      <w:pPr>
        <w:numPr>
          <w:ilvl w:val="0"/>
          <w:numId w:val="33"/>
        </w:numPr>
        <w:spacing w:before="100" w:beforeAutospacing="1" w:after="100" w:afterAutospacing="1"/>
        <w:rPr>
          <w:rFonts w:eastAsia="Times New Roman" w:cs="Calibri"/>
          <w:lang w:eastAsia="en-GB"/>
        </w:rPr>
      </w:pPr>
      <w:r w:rsidRPr="00BB6EAB">
        <w:rPr>
          <w:rFonts w:eastAsia="Times New Roman" w:cs="Calibri"/>
          <w:lang w:eastAsia="en-GB"/>
        </w:rPr>
        <w:t>Transit time and customer requirements</w:t>
      </w:r>
    </w:p>
    <w:p w14:paraId="12810A83"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Modal shift opportunities are identified and reviewed quarterly.</w:t>
      </w:r>
    </w:p>
    <w:p w14:paraId="7B7CEBD3" w14:textId="77777777" w:rsidR="00BB6EAB" w:rsidRPr="00BB6EAB" w:rsidRDefault="007C5305" w:rsidP="00BB6EAB">
      <w:pPr>
        <w:rPr>
          <w:rFonts w:eastAsia="Times New Roman" w:cs="Calibri"/>
          <w:lang w:eastAsia="en-GB"/>
        </w:rPr>
      </w:pPr>
      <w:r>
        <w:rPr>
          <w:rFonts w:eastAsia="Times New Roman" w:cs="Calibri"/>
          <w:lang w:eastAsia="en-GB"/>
        </w:rPr>
        <w:pict w14:anchorId="64C87235">
          <v:rect id="_x0000_i1031" style="width:0;height:1.5pt" o:hralign="center" o:hrstd="t" o:hr="t" fillcolor="#a0a0a0" stroked="f"/>
        </w:pict>
      </w:r>
    </w:p>
    <w:p w14:paraId="026FEC40"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7.0 Carbon Emissions Calculation and Quotations</w:t>
      </w:r>
    </w:p>
    <w:p w14:paraId="1AC70AA0"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 xml:space="preserve">All freight quotations include estimated carbon emissions calculated using approved tools (e.g., DEFRA Conversion Factors, </w:t>
      </w:r>
      <w:proofErr w:type="spellStart"/>
      <w:r w:rsidRPr="00BB6EAB">
        <w:rPr>
          <w:rFonts w:eastAsia="Times New Roman" w:cs="Calibri"/>
          <w:lang w:eastAsia="en-GB"/>
        </w:rPr>
        <w:t>EcoTransIT</w:t>
      </w:r>
      <w:proofErr w:type="spellEnd"/>
      <w:r w:rsidRPr="00BB6EAB">
        <w:rPr>
          <w:rFonts w:eastAsia="Times New Roman" w:cs="Calibri"/>
          <w:lang w:eastAsia="en-GB"/>
        </w:rPr>
        <w:t>). Sales and operations staff are trained to:</w:t>
      </w:r>
    </w:p>
    <w:p w14:paraId="60EF5885" w14:textId="77777777" w:rsidR="00BB6EAB" w:rsidRPr="00BB6EAB" w:rsidRDefault="00BB6EAB" w:rsidP="00BB6EAB">
      <w:pPr>
        <w:numPr>
          <w:ilvl w:val="0"/>
          <w:numId w:val="34"/>
        </w:numPr>
        <w:spacing w:before="100" w:beforeAutospacing="1" w:after="100" w:afterAutospacing="1"/>
        <w:rPr>
          <w:rFonts w:eastAsia="Times New Roman" w:cs="Calibri"/>
          <w:lang w:eastAsia="en-GB"/>
        </w:rPr>
      </w:pPr>
      <w:r w:rsidRPr="00BB6EAB">
        <w:rPr>
          <w:rFonts w:eastAsia="Times New Roman" w:cs="Calibri"/>
          <w:lang w:eastAsia="en-GB"/>
        </w:rPr>
        <w:t>Provide transparent emissions data</w:t>
      </w:r>
    </w:p>
    <w:p w14:paraId="5923C03B" w14:textId="77777777" w:rsidR="00BB6EAB" w:rsidRPr="00BB6EAB" w:rsidRDefault="00BB6EAB" w:rsidP="00BB6EAB">
      <w:pPr>
        <w:numPr>
          <w:ilvl w:val="0"/>
          <w:numId w:val="34"/>
        </w:numPr>
        <w:spacing w:before="100" w:beforeAutospacing="1" w:after="100" w:afterAutospacing="1"/>
        <w:rPr>
          <w:rFonts w:eastAsia="Times New Roman" w:cs="Calibri"/>
          <w:lang w:eastAsia="en-GB"/>
        </w:rPr>
      </w:pPr>
      <w:r w:rsidRPr="00BB6EAB">
        <w:rPr>
          <w:rFonts w:eastAsia="Times New Roman" w:cs="Calibri"/>
          <w:lang w:eastAsia="en-GB"/>
        </w:rPr>
        <w:t>Support customer sustainability goals</w:t>
      </w:r>
    </w:p>
    <w:p w14:paraId="4B927013" w14:textId="77777777" w:rsidR="00BB6EAB" w:rsidRPr="00BB6EAB" w:rsidRDefault="007C5305" w:rsidP="00BB6EAB">
      <w:pPr>
        <w:rPr>
          <w:rFonts w:eastAsia="Times New Roman" w:cs="Calibri"/>
          <w:lang w:eastAsia="en-GB"/>
        </w:rPr>
      </w:pPr>
      <w:r>
        <w:rPr>
          <w:rFonts w:eastAsia="Times New Roman" w:cs="Calibri"/>
          <w:lang w:eastAsia="en-GB"/>
        </w:rPr>
        <w:lastRenderedPageBreak/>
        <w:pict w14:anchorId="78D23517">
          <v:rect id="_x0000_i1032" style="width:0;height:1.5pt" o:hralign="center" o:hrstd="t" o:hr="t" fillcolor="#a0a0a0" stroked="f"/>
        </w:pict>
      </w:r>
    </w:p>
    <w:p w14:paraId="4BE25E2C"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8.0 Monitoring and Improvement</w:t>
      </w:r>
    </w:p>
    <w:p w14:paraId="46438C96"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Emissions and modal shift KPIs are tracked and reviewed in management reviews. Corrective actions are taken where targets are not met. Innovation in green logistics is encouraged and supported through pilot initiatives and stakeholder collaboration.</w:t>
      </w:r>
    </w:p>
    <w:p w14:paraId="28751EBA" w14:textId="77777777" w:rsidR="00BB6EAB" w:rsidRPr="00BB6EAB" w:rsidRDefault="007C5305" w:rsidP="00BB6EAB">
      <w:pPr>
        <w:rPr>
          <w:rFonts w:eastAsia="Times New Roman" w:cs="Calibri"/>
          <w:lang w:eastAsia="en-GB"/>
        </w:rPr>
      </w:pPr>
      <w:r>
        <w:rPr>
          <w:rFonts w:eastAsia="Times New Roman" w:cs="Calibri"/>
          <w:lang w:eastAsia="en-GB"/>
        </w:rPr>
        <w:pict w14:anchorId="334BAB64">
          <v:rect id="_x0000_i1033" style="width:0;height:1.5pt" o:hralign="center" o:hrstd="t" o:hr="t" fillcolor="#a0a0a0" stroked="f"/>
        </w:pict>
      </w:r>
    </w:p>
    <w:p w14:paraId="30287CF2"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b/>
          <w:bCs/>
          <w:lang w:eastAsia="en-GB"/>
        </w:rPr>
        <w:t>9.0 Documented Information and Records</w:t>
      </w:r>
    </w:p>
    <w:p w14:paraId="1C4E0C4F" w14:textId="77777777"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The following are maintained as part of the QMS:</w:t>
      </w:r>
    </w:p>
    <w:p w14:paraId="65ED4360" w14:textId="5FC024C2" w:rsidR="00BB6EAB" w:rsidRPr="00BB6EAB" w:rsidRDefault="00BB6EAB" w:rsidP="00BB6EAB">
      <w:pPr>
        <w:numPr>
          <w:ilvl w:val="0"/>
          <w:numId w:val="35"/>
        </w:numPr>
        <w:spacing w:before="100" w:beforeAutospacing="1" w:after="100" w:afterAutospacing="1"/>
        <w:rPr>
          <w:rFonts w:eastAsia="Times New Roman" w:cs="Calibri"/>
          <w:lang w:eastAsia="en-GB"/>
        </w:rPr>
      </w:pPr>
      <w:r w:rsidRPr="00BB6EAB">
        <w:rPr>
          <w:rFonts w:eastAsia="Times New Roman" w:cs="Calibri"/>
          <w:lang w:eastAsia="en-GB"/>
        </w:rPr>
        <w:t>Legal Register</w:t>
      </w:r>
      <w:r w:rsidR="00901C73">
        <w:rPr>
          <w:rFonts w:eastAsia="Times New Roman" w:cs="Calibri"/>
          <w:lang w:eastAsia="en-GB"/>
        </w:rPr>
        <w:t xml:space="preserve"> – Updated as the </w:t>
      </w:r>
      <w:r w:rsidR="00FC66C3">
        <w:rPr>
          <w:rFonts w:eastAsia="Times New Roman" w:cs="Calibri"/>
          <w:lang w:eastAsia="en-GB"/>
        </w:rPr>
        <w:t xml:space="preserve">law evolves and milestones </w:t>
      </w:r>
      <w:r w:rsidR="00DE4371">
        <w:rPr>
          <w:rFonts w:eastAsia="Times New Roman" w:cs="Calibri"/>
          <w:lang w:eastAsia="en-GB"/>
        </w:rPr>
        <w:t xml:space="preserve">are </w:t>
      </w:r>
      <w:r w:rsidR="00FC66C3">
        <w:rPr>
          <w:rFonts w:eastAsia="Times New Roman" w:cs="Calibri"/>
          <w:lang w:eastAsia="en-GB"/>
        </w:rPr>
        <w:t>introduced</w:t>
      </w:r>
    </w:p>
    <w:p w14:paraId="5A3EB4AE" w14:textId="77777777" w:rsidR="00BB6EAB" w:rsidRPr="00BB6EAB" w:rsidRDefault="00BB6EAB" w:rsidP="00BB6EAB">
      <w:pPr>
        <w:numPr>
          <w:ilvl w:val="0"/>
          <w:numId w:val="35"/>
        </w:numPr>
        <w:spacing w:before="100" w:beforeAutospacing="1" w:after="100" w:afterAutospacing="1"/>
        <w:rPr>
          <w:rFonts w:eastAsia="Times New Roman" w:cs="Calibri"/>
          <w:lang w:eastAsia="en-GB"/>
        </w:rPr>
      </w:pPr>
      <w:r w:rsidRPr="00BB6EAB">
        <w:rPr>
          <w:rFonts w:eastAsia="Times New Roman" w:cs="Calibri"/>
          <w:lang w:eastAsia="en-GB"/>
        </w:rPr>
        <w:t>Modal Shift and Emissions Reports</w:t>
      </w:r>
    </w:p>
    <w:p w14:paraId="32A66C40" w14:textId="77777777" w:rsidR="00BB6EAB" w:rsidRPr="00BB6EAB" w:rsidRDefault="00BB6EAB" w:rsidP="00BB6EAB">
      <w:pPr>
        <w:numPr>
          <w:ilvl w:val="0"/>
          <w:numId w:val="35"/>
        </w:numPr>
        <w:spacing w:before="100" w:beforeAutospacing="1" w:after="100" w:afterAutospacing="1"/>
        <w:rPr>
          <w:rFonts w:eastAsia="Times New Roman" w:cs="Calibri"/>
          <w:lang w:eastAsia="en-GB"/>
        </w:rPr>
      </w:pPr>
      <w:r w:rsidRPr="00BB6EAB">
        <w:rPr>
          <w:rFonts w:eastAsia="Times New Roman" w:cs="Calibri"/>
          <w:lang w:eastAsia="en-GB"/>
        </w:rPr>
        <w:t>Quotation Templates with Carbon Data</w:t>
      </w:r>
    </w:p>
    <w:p w14:paraId="33745081" w14:textId="77777777" w:rsidR="00BB6EAB" w:rsidRDefault="00BB6EAB" w:rsidP="00BB6EAB">
      <w:pPr>
        <w:numPr>
          <w:ilvl w:val="0"/>
          <w:numId w:val="35"/>
        </w:numPr>
        <w:spacing w:before="100" w:beforeAutospacing="1" w:after="100" w:afterAutospacing="1"/>
        <w:rPr>
          <w:rFonts w:eastAsia="Times New Roman" w:cs="Calibri"/>
          <w:lang w:eastAsia="en-GB"/>
        </w:rPr>
      </w:pPr>
      <w:r w:rsidRPr="00BB6EAB">
        <w:rPr>
          <w:rFonts w:eastAsia="Times New Roman" w:cs="Calibri"/>
          <w:lang w:eastAsia="en-GB"/>
        </w:rPr>
        <w:t>Management Review Records</w:t>
      </w:r>
    </w:p>
    <w:p w14:paraId="3231CF83" w14:textId="77777777" w:rsidR="00BB6EAB" w:rsidRDefault="00BB6EAB" w:rsidP="00BB6EAB">
      <w:pPr>
        <w:spacing w:before="100" w:beforeAutospacing="1" w:after="100" w:afterAutospacing="1"/>
        <w:ind w:left="720"/>
        <w:rPr>
          <w:rFonts w:eastAsia="Times New Roman" w:cs="Calibri"/>
          <w:lang w:eastAsia="en-GB"/>
        </w:rPr>
      </w:pPr>
    </w:p>
    <w:p w14:paraId="09576985" w14:textId="4E742503" w:rsidR="00BB6EAB" w:rsidRPr="00BB6EAB" w:rsidRDefault="00BB6EAB" w:rsidP="00BB6EAB">
      <w:pPr>
        <w:spacing w:before="100" w:beforeAutospacing="1" w:after="100" w:afterAutospacing="1"/>
        <w:rPr>
          <w:rFonts w:eastAsia="Times New Roman" w:cs="Calibri"/>
          <w:lang w:eastAsia="en-GB"/>
        </w:rPr>
      </w:pPr>
      <w:r w:rsidRPr="00BB6EAB">
        <w:rPr>
          <w:rFonts w:eastAsia="Times New Roman" w:cs="Calibri"/>
          <w:lang w:eastAsia="en-GB"/>
        </w:rPr>
        <w:t xml:space="preserve">Prepared by </w:t>
      </w:r>
      <w:proofErr w:type="spellStart"/>
      <w:r w:rsidRPr="00BB6EAB">
        <w:rPr>
          <w:rFonts w:eastAsia="Times New Roman" w:cs="Calibri"/>
          <w:lang w:eastAsia="en-GB"/>
        </w:rPr>
        <w:t>S.D.Minks</w:t>
      </w:r>
      <w:proofErr w:type="spellEnd"/>
      <w:r>
        <w:rPr>
          <w:rFonts w:eastAsia="Times New Roman" w:cs="Calibri"/>
          <w:lang w:eastAsia="en-GB"/>
        </w:rPr>
        <w:t>,</w:t>
      </w:r>
      <w:r w:rsidRPr="00BB6EAB">
        <w:rPr>
          <w:rFonts w:eastAsia="Times New Roman" w:cs="Calibri"/>
          <w:lang w:eastAsia="en-GB"/>
        </w:rPr>
        <w:t xml:space="preserve"> System and Process Manager, </w:t>
      </w:r>
      <w:r w:rsidRPr="00BB6EAB">
        <w:rPr>
          <w:rFonts w:eastAsia="Times New Roman" w:cs="Calibri"/>
          <w:lang w:eastAsia="en-GB"/>
        </w:rPr>
        <w:tab/>
        <w:t>Signed ……</w:t>
      </w:r>
      <w:r w:rsidRPr="00BB6EAB">
        <w:rPr>
          <w:rFonts w:ascii="Brush Script MT" w:eastAsia="Times New Roman" w:hAnsi="Brush Script MT" w:cs="Calibri"/>
          <w:sz w:val="28"/>
          <w:szCs w:val="28"/>
          <w:lang w:eastAsia="en-GB"/>
        </w:rPr>
        <w:t>Dale Minks</w:t>
      </w:r>
      <w:r w:rsidRPr="00BB6EAB">
        <w:rPr>
          <w:rFonts w:eastAsia="Times New Roman" w:cs="Calibri"/>
          <w:lang w:eastAsia="en-GB"/>
        </w:rPr>
        <w:t xml:space="preserve">………….. 24/04/2025  </w:t>
      </w:r>
    </w:p>
    <w:p w14:paraId="058D8935" w14:textId="080F9FD0" w:rsidR="00BB6EAB" w:rsidRPr="00BB6EAB" w:rsidRDefault="00BB6EAB" w:rsidP="00BB6EAB">
      <w:pPr>
        <w:spacing w:before="100" w:beforeAutospacing="1" w:after="100" w:afterAutospacing="1"/>
        <w:rPr>
          <w:rFonts w:eastAsia="Times New Roman" w:cs="Calibri"/>
          <w:lang w:eastAsia="en-GB"/>
        </w:rPr>
      </w:pPr>
      <w:r>
        <w:rPr>
          <w:rFonts w:eastAsia="Times New Roman" w:cs="Calibri"/>
          <w:lang w:eastAsia="en-GB"/>
        </w:rPr>
        <w:t xml:space="preserve">Authorised by David Milne, Managing Director, </w:t>
      </w:r>
      <w:r>
        <w:rPr>
          <w:rFonts w:eastAsia="Times New Roman" w:cs="Calibri"/>
          <w:lang w:eastAsia="en-GB"/>
        </w:rPr>
        <w:tab/>
      </w:r>
      <w:r>
        <w:rPr>
          <w:rFonts w:eastAsia="Times New Roman" w:cs="Calibri"/>
          <w:lang w:eastAsia="en-GB"/>
        </w:rPr>
        <w:tab/>
        <w:t>Signed ………</w:t>
      </w:r>
      <w:r w:rsidR="003F15B2">
        <w:rPr>
          <w:rFonts w:ascii="Brush Script MT" w:eastAsia="Times New Roman" w:hAnsi="Brush Script MT" w:cs="Calibri"/>
          <w:sz w:val="28"/>
          <w:szCs w:val="28"/>
          <w:lang w:eastAsia="en-GB"/>
        </w:rPr>
        <w:t>………….</w:t>
      </w:r>
      <w:r w:rsidR="003F15B2">
        <w:rPr>
          <w:rFonts w:eastAsia="Times New Roman" w:cs="Calibri"/>
          <w:lang w:eastAsia="en-GB"/>
        </w:rPr>
        <w:t xml:space="preserve"> </w:t>
      </w:r>
      <w:r>
        <w:rPr>
          <w:rFonts w:eastAsia="Times New Roman" w:cs="Calibri"/>
          <w:lang w:eastAsia="en-GB"/>
        </w:rPr>
        <w:t>…….. 24/04/2025</w:t>
      </w:r>
    </w:p>
    <w:p w14:paraId="23F9E7AB" w14:textId="21D56A55" w:rsidR="00BB6EAB" w:rsidRPr="00BB6EAB" w:rsidRDefault="00BB6EAB" w:rsidP="00BB6EAB">
      <w:pPr>
        <w:spacing w:before="100" w:beforeAutospacing="1" w:after="100" w:afterAutospacing="1"/>
        <w:rPr>
          <w:rFonts w:eastAsia="Times New Roman" w:cs="Calibri"/>
          <w:lang w:eastAsia="en-GB"/>
        </w:rPr>
      </w:pPr>
    </w:p>
    <w:sectPr w:rsidR="00BB6EAB" w:rsidRPr="00BB6EAB" w:rsidSect="009D57D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70701" w14:textId="77777777" w:rsidR="007C5305" w:rsidRDefault="007C5305" w:rsidP="00A706DC">
      <w:r>
        <w:separator/>
      </w:r>
    </w:p>
  </w:endnote>
  <w:endnote w:type="continuationSeparator" w:id="0">
    <w:p w14:paraId="1B630CF8" w14:textId="77777777" w:rsidR="007C5305" w:rsidRDefault="007C5305" w:rsidP="00A70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ABB3" w14:textId="77777777" w:rsidR="00A706DC" w:rsidRDefault="00A706DC">
    <w:pPr>
      <w:pStyle w:val="Footer"/>
    </w:pPr>
  </w:p>
  <w:p w14:paraId="09B39087" w14:textId="68B3B456" w:rsidR="00950D8C" w:rsidRDefault="00904AE1" w:rsidP="00950D8C">
    <w:pPr>
      <w:pStyle w:val="Footer"/>
    </w:pPr>
    <w:r w:rsidRPr="00495F43">
      <w:t>V1.</w:t>
    </w:r>
    <w:r w:rsidR="009D70FD">
      <w:t>0</w:t>
    </w:r>
    <w:r w:rsidR="00950D8C" w:rsidRPr="00495F43">
      <w:tab/>
    </w:r>
    <w:r w:rsidR="00E3612F">
      <w:t>M1</w:t>
    </w:r>
    <w:r w:rsidR="00BB6EAB">
      <w:t xml:space="preserve">9 Climate Change </w:t>
    </w:r>
    <w:r w:rsidR="00BB6EAB">
      <w:tab/>
    </w:r>
    <w:r w:rsidR="00CA233B">
      <w:t xml:space="preserve">April </w:t>
    </w:r>
    <w:r w:rsidR="009D70FD">
      <w:t xml:space="preserve"> </w:t>
    </w:r>
    <w:r w:rsidR="00E3612F">
      <w:t>202</w:t>
    </w:r>
    <w:r w:rsidR="00CA233B">
      <w:t>5</w:t>
    </w:r>
  </w:p>
  <w:p w14:paraId="48BC3BC0" w14:textId="77777777" w:rsidR="00A706DC" w:rsidRDefault="00A706DC">
    <w:pPr>
      <w:pStyle w:val="Footer"/>
    </w:pPr>
  </w:p>
  <w:p w14:paraId="784D01C4" w14:textId="77777777" w:rsidR="00A706DC" w:rsidRDefault="00A7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AC88" w14:textId="77777777" w:rsidR="007C5305" w:rsidRDefault="007C5305" w:rsidP="00A706DC">
      <w:r>
        <w:separator/>
      </w:r>
    </w:p>
  </w:footnote>
  <w:footnote w:type="continuationSeparator" w:id="0">
    <w:p w14:paraId="1D52284C" w14:textId="77777777" w:rsidR="007C5305" w:rsidRDefault="007C5305" w:rsidP="00A70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FB9B" w14:textId="62520381" w:rsidR="00A706DC" w:rsidRPr="00E3612F" w:rsidRDefault="00AD108C" w:rsidP="00E3612F">
    <w:pPr>
      <w:pStyle w:val="Header"/>
    </w:pPr>
    <w:r>
      <w:rPr>
        <w:noProof/>
      </w:rPr>
      <w:drawing>
        <wp:inline distT="0" distB="0" distL="0" distR="0" wp14:anchorId="4FCED803" wp14:editId="206BCADB">
          <wp:extent cx="2886075" cy="83820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38200"/>
                  </a:xfrm>
                  <a:prstGeom prst="rect">
                    <a:avLst/>
                  </a:prstGeom>
                  <a:noFill/>
                  <a:ln>
                    <a:noFill/>
                  </a:ln>
                </pic:spPr>
              </pic:pic>
            </a:graphicData>
          </a:graphic>
        </wp:inline>
      </w:drawing>
    </w:r>
    <w:r>
      <w:rPr>
        <w:noProof/>
      </w:rPr>
      <w:drawing>
        <wp:inline distT="0" distB="0" distL="0" distR="0" wp14:anchorId="4D41CDC5" wp14:editId="44089C1C">
          <wp:extent cx="1200150" cy="56197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82A"/>
    <w:multiLevelType w:val="hybridMultilevel"/>
    <w:tmpl w:val="4AA4FD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B52FD"/>
    <w:multiLevelType w:val="multilevel"/>
    <w:tmpl w:val="0F2C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D4D79"/>
    <w:multiLevelType w:val="multilevel"/>
    <w:tmpl w:val="CB6A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3691F"/>
    <w:multiLevelType w:val="multilevel"/>
    <w:tmpl w:val="4FCE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65D8F"/>
    <w:multiLevelType w:val="multilevel"/>
    <w:tmpl w:val="1A06A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E2FBA"/>
    <w:multiLevelType w:val="hybridMultilevel"/>
    <w:tmpl w:val="618A6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F5B86"/>
    <w:multiLevelType w:val="hybridMultilevel"/>
    <w:tmpl w:val="F1503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F1AAA"/>
    <w:multiLevelType w:val="hybridMultilevel"/>
    <w:tmpl w:val="3340A86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E21989"/>
    <w:multiLevelType w:val="hybridMultilevel"/>
    <w:tmpl w:val="781AE20E"/>
    <w:lvl w:ilvl="0" w:tplc="D7F4433E">
      <w:start w:val="1"/>
      <w:numFmt w:val="lowerLetter"/>
      <w:lvlText w:val="%1)"/>
      <w:lvlJc w:val="left"/>
      <w:pPr>
        <w:ind w:left="720" w:hanging="360"/>
      </w:pPr>
      <w:rPr>
        <w:rFonts w:ascii="Arial" w:eastAsia="Times New Roman" w:hAnsi="Arial" w:cs="Aria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FC56C6"/>
    <w:multiLevelType w:val="hybridMultilevel"/>
    <w:tmpl w:val="AB2E8552"/>
    <w:lvl w:ilvl="0" w:tplc="FFAAC164">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B6355"/>
    <w:multiLevelType w:val="multilevel"/>
    <w:tmpl w:val="DF0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540F1"/>
    <w:multiLevelType w:val="multilevel"/>
    <w:tmpl w:val="63180B46"/>
    <w:lvl w:ilvl="0">
      <w:start w:val="1"/>
      <w:numFmt w:val="decimal"/>
      <w:lvlText w:val="%1."/>
      <w:lvlJc w:val="left"/>
      <w:pPr>
        <w:ind w:left="720" w:hanging="720"/>
      </w:pPr>
      <w:rPr>
        <w:rFonts w:hint="default"/>
        <w:b/>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320F2394"/>
    <w:multiLevelType w:val="multilevel"/>
    <w:tmpl w:val="371A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B5663"/>
    <w:multiLevelType w:val="multilevel"/>
    <w:tmpl w:val="C3CC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E2113F"/>
    <w:multiLevelType w:val="multilevel"/>
    <w:tmpl w:val="8182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CE71D6"/>
    <w:multiLevelType w:val="hybridMultilevel"/>
    <w:tmpl w:val="D8E691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AF136B"/>
    <w:multiLevelType w:val="hybridMultilevel"/>
    <w:tmpl w:val="EC5C1638"/>
    <w:lvl w:ilvl="0" w:tplc="7230F58E">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101673"/>
    <w:multiLevelType w:val="hybridMultilevel"/>
    <w:tmpl w:val="FC1EA67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454E4D"/>
    <w:multiLevelType w:val="multilevel"/>
    <w:tmpl w:val="50BEF95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4BD439F9"/>
    <w:multiLevelType w:val="multilevel"/>
    <w:tmpl w:val="A8183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552407"/>
    <w:multiLevelType w:val="multilevel"/>
    <w:tmpl w:val="B074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262D5"/>
    <w:multiLevelType w:val="multilevel"/>
    <w:tmpl w:val="8DDA6CB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8C3B47"/>
    <w:multiLevelType w:val="multilevel"/>
    <w:tmpl w:val="B61A8FF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9711A62"/>
    <w:multiLevelType w:val="multilevel"/>
    <w:tmpl w:val="9432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A3139"/>
    <w:multiLevelType w:val="multilevel"/>
    <w:tmpl w:val="3E82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C0471"/>
    <w:multiLevelType w:val="multilevel"/>
    <w:tmpl w:val="86140DF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673237EC"/>
    <w:multiLevelType w:val="multilevel"/>
    <w:tmpl w:val="239C9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D5C94"/>
    <w:multiLevelType w:val="multilevel"/>
    <w:tmpl w:val="CDB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687961"/>
    <w:multiLevelType w:val="multilevel"/>
    <w:tmpl w:val="9928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237240"/>
    <w:multiLevelType w:val="hybridMultilevel"/>
    <w:tmpl w:val="AF90B81C"/>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3B95F21"/>
    <w:multiLevelType w:val="multilevel"/>
    <w:tmpl w:val="65E8D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AD6768"/>
    <w:multiLevelType w:val="multilevel"/>
    <w:tmpl w:val="867A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BA41A0"/>
    <w:multiLevelType w:val="hybridMultilevel"/>
    <w:tmpl w:val="C1A0C000"/>
    <w:lvl w:ilvl="0" w:tplc="0809000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6B3D56"/>
    <w:multiLevelType w:val="multilevel"/>
    <w:tmpl w:val="00A411B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F860E6F"/>
    <w:multiLevelType w:val="multilevel"/>
    <w:tmpl w:val="E224F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8337234">
    <w:abstractNumId w:val="25"/>
  </w:num>
  <w:num w:numId="2" w16cid:durableId="1475172971">
    <w:abstractNumId w:val="6"/>
  </w:num>
  <w:num w:numId="3" w16cid:durableId="2137528535">
    <w:abstractNumId w:val="0"/>
  </w:num>
  <w:num w:numId="4" w16cid:durableId="549415942">
    <w:abstractNumId w:val="18"/>
  </w:num>
  <w:num w:numId="5" w16cid:durableId="1667896509">
    <w:abstractNumId w:val="22"/>
  </w:num>
  <w:num w:numId="6" w16cid:durableId="1516843210">
    <w:abstractNumId w:val="21"/>
  </w:num>
  <w:num w:numId="7" w16cid:durableId="45836995">
    <w:abstractNumId w:val="11"/>
  </w:num>
  <w:num w:numId="8" w16cid:durableId="170220133">
    <w:abstractNumId w:val="33"/>
  </w:num>
  <w:num w:numId="9" w16cid:durableId="617373060">
    <w:abstractNumId w:val="15"/>
  </w:num>
  <w:num w:numId="10" w16cid:durableId="1538617057">
    <w:abstractNumId w:val="32"/>
  </w:num>
  <w:num w:numId="11" w16cid:durableId="2003043828">
    <w:abstractNumId w:val="9"/>
  </w:num>
  <w:num w:numId="12" w16cid:durableId="615909430">
    <w:abstractNumId w:val="5"/>
  </w:num>
  <w:num w:numId="13" w16cid:durableId="726760112">
    <w:abstractNumId w:val="19"/>
  </w:num>
  <w:num w:numId="14" w16cid:durableId="17196064">
    <w:abstractNumId w:val="7"/>
  </w:num>
  <w:num w:numId="15" w16cid:durableId="1862353831">
    <w:abstractNumId w:val="17"/>
  </w:num>
  <w:num w:numId="16" w16cid:durableId="665522905">
    <w:abstractNumId w:val="29"/>
  </w:num>
  <w:num w:numId="17" w16cid:durableId="1259371213">
    <w:abstractNumId w:val="8"/>
  </w:num>
  <w:num w:numId="18" w16cid:durableId="1341856659">
    <w:abstractNumId w:val="16"/>
  </w:num>
  <w:num w:numId="19" w16cid:durableId="569661428">
    <w:abstractNumId w:val="27"/>
  </w:num>
  <w:num w:numId="20" w16cid:durableId="1532107729">
    <w:abstractNumId w:val="30"/>
  </w:num>
  <w:num w:numId="21" w16cid:durableId="1575551857">
    <w:abstractNumId w:val="24"/>
  </w:num>
  <w:num w:numId="22" w16cid:durableId="1785730412">
    <w:abstractNumId w:val="14"/>
  </w:num>
  <w:num w:numId="23" w16cid:durableId="1076392434">
    <w:abstractNumId w:val="4"/>
  </w:num>
  <w:num w:numId="24" w16cid:durableId="1941141019">
    <w:abstractNumId w:val="10"/>
  </w:num>
  <w:num w:numId="25" w16cid:durableId="26954230">
    <w:abstractNumId w:val="12"/>
  </w:num>
  <w:num w:numId="26" w16cid:durableId="662972587">
    <w:abstractNumId w:val="13"/>
  </w:num>
  <w:num w:numId="27" w16cid:durableId="2135057964">
    <w:abstractNumId w:val="26"/>
  </w:num>
  <w:num w:numId="28" w16cid:durableId="828404410">
    <w:abstractNumId w:val="31"/>
  </w:num>
  <w:num w:numId="29" w16cid:durableId="1595934812">
    <w:abstractNumId w:val="28"/>
  </w:num>
  <w:num w:numId="30" w16cid:durableId="252249726">
    <w:abstractNumId w:val="23"/>
  </w:num>
  <w:num w:numId="31" w16cid:durableId="2066484633">
    <w:abstractNumId w:val="34"/>
  </w:num>
  <w:num w:numId="32" w16cid:durableId="1523665434">
    <w:abstractNumId w:val="2"/>
  </w:num>
  <w:num w:numId="33" w16cid:durableId="1201474916">
    <w:abstractNumId w:val="20"/>
  </w:num>
  <w:num w:numId="34" w16cid:durableId="1414158038">
    <w:abstractNumId w:val="3"/>
  </w:num>
  <w:num w:numId="35" w16cid:durableId="171877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C"/>
    <w:rsid w:val="00040C0D"/>
    <w:rsid w:val="00040C60"/>
    <w:rsid w:val="0004373E"/>
    <w:rsid w:val="000965EE"/>
    <w:rsid w:val="000A3889"/>
    <w:rsid w:val="000C7E61"/>
    <w:rsid w:val="000D0370"/>
    <w:rsid w:val="001062E7"/>
    <w:rsid w:val="00134FAB"/>
    <w:rsid w:val="00162D30"/>
    <w:rsid w:val="001770AF"/>
    <w:rsid w:val="00184789"/>
    <w:rsid w:val="001C144D"/>
    <w:rsid w:val="001C622C"/>
    <w:rsid w:val="001E3668"/>
    <w:rsid w:val="00202E2B"/>
    <w:rsid w:val="00245C8B"/>
    <w:rsid w:val="002754AD"/>
    <w:rsid w:val="002B38DF"/>
    <w:rsid w:val="002E2280"/>
    <w:rsid w:val="002E6F53"/>
    <w:rsid w:val="003060CB"/>
    <w:rsid w:val="00364AAF"/>
    <w:rsid w:val="003676CE"/>
    <w:rsid w:val="0037581E"/>
    <w:rsid w:val="003B0272"/>
    <w:rsid w:val="003C0B07"/>
    <w:rsid w:val="003F15B2"/>
    <w:rsid w:val="00453B15"/>
    <w:rsid w:val="00485229"/>
    <w:rsid w:val="00494035"/>
    <w:rsid w:val="00495F43"/>
    <w:rsid w:val="004C5781"/>
    <w:rsid w:val="004D5924"/>
    <w:rsid w:val="004E1D47"/>
    <w:rsid w:val="00547559"/>
    <w:rsid w:val="00595411"/>
    <w:rsid w:val="005D536C"/>
    <w:rsid w:val="00604833"/>
    <w:rsid w:val="00622305"/>
    <w:rsid w:val="00654BFB"/>
    <w:rsid w:val="00660F03"/>
    <w:rsid w:val="00670F26"/>
    <w:rsid w:val="006D2707"/>
    <w:rsid w:val="006F567F"/>
    <w:rsid w:val="00762D47"/>
    <w:rsid w:val="00780965"/>
    <w:rsid w:val="00781F4E"/>
    <w:rsid w:val="007A61BC"/>
    <w:rsid w:val="007A7AA8"/>
    <w:rsid w:val="007C5305"/>
    <w:rsid w:val="007F1660"/>
    <w:rsid w:val="00803EC7"/>
    <w:rsid w:val="008223B6"/>
    <w:rsid w:val="00830E9B"/>
    <w:rsid w:val="00842685"/>
    <w:rsid w:val="008465FF"/>
    <w:rsid w:val="008D7B05"/>
    <w:rsid w:val="00901C73"/>
    <w:rsid w:val="00904AE1"/>
    <w:rsid w:val="00937D66"/>
    <w:rsid w:val="00944900"/>
    <w:rsid w:val="00950D8C"/>
    <w:rsid w:val="009B4A0E"/>
    <w:rsid w:val="009C0235"/>
    <w:rsid w:val="009D57DF"/>
    <w:rsid w:val="009D70FD"/>
    <w:rsid w:val="009E05A6"/>
    <w:rsid w:val="009E6546"/>
    <w:rsid w:val="00A42866"/>
    <w:rsid w:val="00A6323F"/>
    <w:rsid w:val="00A706DC"/>
    <w:rsid w:val="00A91D81"/>
    <w:rsid w:val="00A9484C"/>
    <w:rsid w:val="00AC01B0"/>
    <w:rsid w:val="00AD108C"/>
    <w:rsid w:val="00B263A3"/>
    <w:rsid w:val="00B579E4"/>
    <w:rsid w:val="00B72A16"/>
    <w:rsid w:val="00B90480"/>
    <w:rsid w:val="00BB6EAB"/>
    <w:rsid w:val="00BC0DF5"/>
    <w:rsid w:val="00BD6C37"/>
    <w:rsid w:val="00C726DC"/>
    <w:rsid w:val="00C77BE1"/>
    <w:rsid w:val="00C864D6"/>
    <w:rsid w:val="00CA233B"/>
    <w:rsid w:val="00CA75DC"/>
    <w:rsid w:val="00CB1506"/>
    <w:rsid w:val="00CF1232"/>
    <w:rsid w:val="00CF4649"/>
    <w:rsid w:val="00D50C11"/>
    <w:rsid w:val="00D61FCE"/>
    <w:rsid w:val="00D64CFD"/>
    <w:rsid w:val="00DB3D3F"/>
    <w:rsid w:val="00DE4371"/>
    <w:rsid w:val="00E3612F"/>
    <w:rsid w:val="00E70FCB"/>
    <w:rsid w:val="00EA3A1B"/>
    <w:rsid w:val="00EF6A7E"/>
    <w:rsid w:val="00F20EB5"/>
    <w:rsid w:val="00F4732C"/>
    <w:rsid w:val="00F76B1C"/>
    <w:rsid w:val="00F80F32"/>
    <w:rsid w:val="00F9009F"/>
    <w:rsid w:val="00F90939"/>
    <w:rsid w:val="00FA5A35"/>
    <w:rsid w:val="00FA6173"/>
    <w:rsid w:val="00FA7AA7"/>
    <w:rsid w:val="00FC04AB"/>
    <w:rsid w:val="00FC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2B0D6"/>
  <w15:chartTrackingRefBased/>
  <w15:docId w15:val="{E209136C-4434-4E86-BC18-07283FB62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7DF"/>
    <w:rPr>
      <w:sz w:val="22"/>
      <w:szCs w:val="22"/>
      <w:lang w:eastAsia="en-US"/>
    </w:rPr>
  </w:style>
  <w:style w:type="paragraph" w:styleId="Heading1">
    <w:name w:val="heading 1"/>
    <w:basedOn w:val="Normal"/>
    <w:next w:val="Normal"/>
    <w:link w:val="Heading1Char"/>
    <w:qFormat/>
    <w:rsid w:val="0037581E"/>
    <w:pPr>
      <w:keepNext/>
      <w:outlineLvl w:val="0"/>
    </w:pPr>
    <w:rPr>
      <w:rFonts w:ascii="Tahoma" w:eastAsia="Times New Roman" w:hAnsi="Tahoma" w:cs="Tahom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06DC"/>
    <w:pPr>
      <w:tabs>
        <w:tab w:val="center" w:pos="4513"/>
        <w:tab w:val="right" w:pos="9026"/>
      </w:tabs>
    </w:pPr>
  </w:style>
  <w:style w:type="character" w:customStyle="1" w:styleId="HeaderChar">
    <w:name w:val="Header Char"/>
    <w:basedOn w:val="DefaultParagraphFont"/>
    <w:link w:val="Header"/>
    <w:uiPriority w:val="99"/>
    <w:semiHidden/>
    <w:rsid w:val="00A706DC"/>
  </w:style>
  <w:style w:type="paragraph" w:styleId="Footer">
    <w:name w:val="footer"/>
    <w:basedOn w:val="Normal"/>
    <w:link w:val="FooterChar"/>
    <w:uiPriority w:val="99"/>
    <w:unhideWhenUsed/>
    <w:rsid w:val="00A706DC"/>
    <w:pPr>
      <w:tabs>
        <w:tab w:val="center" w:pos="4513"/>
        <w:tab w:val="right" w:pos="9026"/>
      </w:tabs>
    </w:pPr>
  </w:style>
  <w:style w:type="character" w:customStyle="1" w:styleId="FooterChar">
    <w:name w:val="Footer Char"/>
    <w:basedOn w:val="DefaultParagraphFont"/>
    <w:link w:val="Footer"/>
    <w:uiPriority w:val="99"/>
    <w:rsid w:val="00A706DC"/>
  </w:style>
  <w:style w:type="paragraph" w:styleId="BalloonText">
    <w:name w:val="Balloon Text"/>
    <w:basedOn w:val="Normal"/>
    <w:link w:val="BalloonTextChar"/>
    <w:uiPriority w:val="99"/>
    <w:semiHidden/>
    <w:unhideWhenUsed/>
    <w:rsid w:val="00A706DC"/>
    <w:rPr>
      <w:rFonts w:ascii="Tahoma" w:hAnsi="Tahoma" w:cs="Tahoma"/>
      <w:sz w:val="16"/>
      <w:szCs w:val="16"/>
    </w:rPr>
  </w:style>
  <w:style w:type="character" w:customStyle="1" w:styleId="BalloonTextChar">
    <w:name w:val="Balloon Text Char"/>
    <w:link w:val="BalloonText"/>
    <w:uiPriority w:val="99"/>
    <w:semiHidden/>
    <w:rsid w:val="00A706DC"/>
    <w:rPr>
      <w:rFonts w:ascii="Tahoma" w:hAnsi="Tahoma" w:cs="Tahoma"/>
      <w:sz w:val="16"/>
      <w:szCs w:val="16"/>
    </w:rPr>
  </w:style>
  <w:style w:type="paragraph" w:styleId="ListParagraph">
    <w:name w:val="List Paragraph"/>
    <w:basedOn w:val="Normal"/>
    <w:uiPriority w:val="34"/>
    <w:qFormat/>
    <w:rsid w:val="0004373E"/>
    <w:pPr>
      <w:ind w:left="720"/>
    </w:pPr>
  </w:style>
  <w:style w:type="character" w:customStyle="1" w:styleId="Heading1Char">
    <w:name w:val="Heading 1 Char"/>
    <w:link w:val="Heading1"/>
    <w:rsid w:val="0037581E"/>
    <w:rPr>
      <w:rFonts w:ascii="Tahoma" w:eastAsia="Times New Roman" w:hAnsi="Tahoma" w:cs="Tahoma"/>
      <w:sz w:val="24"/>
      <w:szCs w:val="24"/>
      <w:u w:val="single"/>
      <w:lang w:eastAsia="en-US"/>
    </w:rPr>
  </w:style>
  <w:style w:type="paragraph" w:styleId="BodyTextIndent3">
    <w:name w:val="Body Text Indent 3"/>
    <w:basedOn w:val="Normal"/>
    <w:link w:val="BodyTextIndent3Char"/>
    <w:semiHidden/>
    <w:rsid w:val="0037581E"/>
    <w:pPr>
      <w:ind w:left="284"/>
    </w:pPr>
    <w:rPr>
      <w:rFonts w:ascii="Tahoma" w:eastAsia="Times New Roman" w:hAnsi="Tahoma"/>
      <w:sz w:val="24"/>
      <w:szCs w:val="20"/>
    </w:rPr>
  </w:style>
  <w:style w:type="character" w:customStyle="1" w:styleId="BodyTextIndent3Char">
    <w:name w:val="Body Text Indent 3 Char"/>
    <w:link w:val="BodyTextIndent3"/>
    <w:semiHidden/>
    <w:rsid w:val="0037581E"/>
    <w:rPr>
      <w:rFonts w:ascii="Tahoma" w:eastAsia="Times New Roman" w:hAnsi="Tahoma"/>
      <w:sz w:val="24"/>
      <w:lang w:eastAsia="en-US"/>
    </w:rPr>
  </w:style>
  <w:style w:type="paragraph" w:styleId="NormalWeb">
    <w:name w:val="Normal (Web)"/>
    <w:basedOn w:val="Normal"/>
    <w:uiPriority w:val="99"/>
    <w:unhideWhenUsed/>
    <w:rsid w:val="00CA233B"/>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CA2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0014">
      <w:bodyDiv w:val="1"/>
      <w:marLeft w:val="0"/>
      <w:marRight w:val="0"/>
      <w:marTop w:val="0"/>
      <w:marBottom w:val="0"/>
      <w:divBdr>
        <w:top w:val="none" w:sz="0" w:space="0" w:color="auto"/>
        <w:left w:val="none" w:sz="0" w:space="0" w:color="auto"/>
        <w:bottom w:val="none" w:sz="0" w:space="0" w:color="auto"/>
        <w:right w:val="none" w:sz="0" w:space="0" w:color="auto"/>
      </w:divBdr>
    </w:div>
    <w:div w:id="290064913">
      <w:bodyDiv w:val="1"/>
      <w:marLeft w:val="0"/>
      <w:marRight w:val="0"/>
      <w:marTop w:val="0"/>
      <w:marBottom w:val="0"/>
      <w:divBdr>
        <w:top w:val="none" w:sz="0" w:space="0" w:color="auto"/>
        <w:left w:val="none" w:sz="0" w:space="0" w:color="auto"/>
        <w:bottom w:val="none" w:sz="0" w:space="0" w:color="auto"/>
        <w:right w:val="none" w:sz="0" w:space="0" w:color="auto"/>
      </w:divBdr>
    </w:div>
    <w:div w:id="1215775872">
      <w:bodyDiv w:val="1"/>
      <w:marLeft w:val="0"/>
      <w:marRight w:val="0"/>
      <w:marTop w:val="0"/>
      <w:marBottom w:val="0"/>
      <w:divBdr>
        <w:top w:val="none" w:sz="0" w:space="0" w:color="auto"/>
        <w:left w:val="none" w:sz="0" w:space="0" w:color="auto"/>
        <w:bottom w:val="none" w:sz="0" w:space="0" w:color="auto"/>
        <w:right w:val="none" w:sz="0" w:space="0" w:color="auto"/>
      </w:divBdr>
      <w:divsChild>
        <w:div w:id="1627196405">
          <w:marLeft w:val="0"/>
          <w:marRight w:val="0"/>
          <w:marTop w:val="0"/>
          <w:marBottom w:val="0"/>
          <w:divBdr>
            <w:top w:val="none" w:sz="0" w:space="0" w:color="auto"/>
            <w:left w:val="none" w:sz="0" w:space="0" w:color="auto"/>
            <w:bottom w:val="none" w:sz="0" w:space="0" w:color="auto"/>
            <w:right w:val="none" w:sz="0" w:space="0" w:color="auto"/>
          </w:divBdr>
        </w:div>
        <w:div w:id="1341396326">
          <w:marLeft w:val="0"/>
          <w:marRight w:val="0"/>
          <w:marTop w:val="0"/>
          <w:marBottom w:val="0"/>
          <w:divBdr>
            <w:top w:val="none" w:sz="0" w:space="0" w:color="auto"/>
            <w:left w:val="none" w:sz="0" w:space="0" w:color="auto"/>
            <w:bottom w:val="none" w:sz="0" w:space="0" w:color="auto"/>
            <w:right w:val="none" w:sz="0" w:space="0" w:color="auto"/>
          </w:divBdr>
        </w:div>
        <w:div w:id="1659112554">
          <w:marLeft w:val="0"/>
          <w:marRight w:val="0"/>
          <w:marTop w:val="0"/>
          <w:marBottom w:val="0"/>
          <w:divBdr>
            <w:top w:val="none" w:sz="0" w:space="0" w:color="auto"/>
            <w:left w:val="none" w:sz="0" w:space="0" w:color="auto"/>
            <w:bottom w:val="none" w:sz="0" w:space="0" w:color="auto"/>
            <w:right w:val="none" w:sz="0" w:space="0" w:color="auto"/>
          </w:divBdr>
        </w:div>
        <w:div w:id="914704809">
          <w:marLeft w:val="0"/>
          <w:marRight w:val="0"/>
          <w:marTop w:val="0"/>
          <w:marBottom w:val="0"/>
          <w:divBdr>
            <w:top w:val="none" w:sz="0" w:space="0" w:color="auto"/>
            <w:left w:val="none" w:sz="0" w:space="0" w:color="auto"/>
            <w:bottom w:val="none" w:sz="0" w:space="0" w:color="auto"/>
            <w:right w:val="none" w:sz="0" w:space="0" w:color="auto"/>
          </w:divBdr>
        </w:div>
        <w:div w:id="1284849111">
          <w:marLeft w:val="0"/>
          <w:marRight w:val="0"/>
          <w:marTop w:val="0"/>
          <w:marBottom w:val="0"/>
          <w:divBdr>
            <w:top w:val="none" w:sz="0" w:space="0" w:color="auto"/>
            <w:left w:val="none" w:sz="0" w:space="0" w:color="auto"/>
            <w:bottom w:val="none" w:sz="0" w:space="0" w:color="auto"/>
            <w:right w:val="none" w:sz="0" w:space="0" w:color="auto"/>
          </w:divBdr>
        </w:div>
        <w:div w:id="2035185895">
          <w:marLeft w:val="0"/>
          <w:marRight w:val="0"/>
          <w:marTop w:val="0"/>
          <w:marBottom w:val="0"/>
          <w:divBdr>
            <w:top w:val="none" w:sz="0" w:space="0" w:color="auto"/>
            <w:left w:val="none" w:sz="0" w:space="0" w:color="auto"/>
            <w:bottom w:val="none" w:sz="0" w:space="0" w:color="auto"/>
            <w:right w:val="none" w:sz="0" w:space="0" w:color="auto"/>
          </w:divBdr>
        </w:div>
        <w:div w:id="1478448731">
          <w:marLeft w:val="0"/>
          <w:marRight w:val="0"/>
          <w:marTop w:val="0"/>
          <w:marBottom w:val="0"/>
          <w:divBdr>
            <w:top w:val="none" w:sz="0" w:space="0" w:color="auto"/>
            <w:left w:val="none" w:sz="0" w:space="0" w:color="auto"/>
            <w:bottom w:val="none" w:sz="0" w:space="0" w:color="auto"/>
            <w:right w:val="none" w:sz="0" w:space="0" w:color="auto"/>
          </w:divBdr>
        </w:div>
        <w:div w:id="272247378">
          <w:marLeft w:val="0"/>
          <w:marRight w:val="0"/>
          <w:marTop w:val="0"/>
          <w:marBottom w:val="0"/>
          <w:divBdr>
            <w:top w:val="none" w:sz="0" w:space="0" w:color="auto"/>
            <w:left w:val="none" w:sz="0" w:space="0" w:color="auto"/>
            <w:bottom w:val="none" w:sz="0" w:space="0" w:color="auto"/>
            <w:right w:val="none" w:sz="0" w:space="0" w:color="auto"/>
          </w:divBdr>
        </w:div>
        <w:div w:id="578178263">
          <w:marLeft w:val="0"/>
          <w:marRight w:val="0"/>
          <w:marTop w:val="0"/>
          <w:marBottom w:val="0"/>
          <w:divBdr>
            <w:top w:val="none" w:sz="0" w:space="0" w:color="auto"/>
            <w:left w:val="none" w:sz="0" w:space="0" w:color="auto"/>
            <w:bottom w:val="none" w:sz="0" w:space="0" w:color="auto"/>
            <w:right w:val="none" w:sz="0" w:space="0" w:color="auto"/>
          </w:divBdr>
        </w:div>
      </w:divsChild>
    </w:div>
    <w:div w:id="19706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54FC8B2B79A46951E33E1961C5E30" ma:contentTypeVersion="18" ma:contentTypeDescription="Create a new document." ma:contentTypeScope="" ma:versionID="fc916bea981b667023ba4d31721024d9">
  <xsd:schema xmlns:xsd="http://www.w3.org/2001/XMLSchema" xmlns:xs="http://www.w3.org/2001/XMLSchema" xmlns:p="http://schemas.microsoft.com/office/2006/metadata/properties" xmlns:ns2="1b044f03-8eb4-402b-85db-8014812e0fa6" xmlns:ns3="8c839e8e-43a8-495c-b831-fdc82008114a" targetNamespace="http://schemas.microsoft.com/office/2006/metadata/properties" ma:root="true" ma:fieldsID="e3c9374ec6eb46307ce2896d67d1168c" ns2:_="" ns3:_="">
    <xsd:import namespace="1b044f03-8eb4-402b-85db-8014812e0fa6"/>
    <xsd:import namespace="8c839e8e-43a8-495c-b831-fdc8200811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44f03-8eb4-402b-85db-8014812e0f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028771-90fb-43a1-bc48-8fcbd807b39d}" ma:internalName="TaxCatchAll" ma:showField="CatchAllData" ma:web="1b044f03-8eb4-402b-85db-8014812e0f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839e8e-43a8-495c-b831-fdc8200811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c03e6e-aee0-41f7-a1b5-22683ded37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839e8e-43a8-495c-b831-fdc82008114a">
      <Terms xmlns="http://schemas.microsoft.com/office/infopath/2007/PartnerControls"/>
    </lcf76f155ced4ddcb4097134ff3c332f>
    <TaxCatchAll xmlns="1b044f03-8eb4-402b-85db-8014812e0f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B3F9573-F959-4DDA-A5BE-C72F2DD5B8EB}"/>
</file>

<file path=customXml/itemProps2.xml><?xml version="1.0" encoding="utf-8"?>
<ds:datastoreItem xmlns:ds="http://schemas.openxmlformats.org/officeDocument/2006/customXml" ds:itemID="{7AC74991-C5B0-4C65-AAAA-1F12A0EF81CF}">
  <ds:schemaRefs>
    <ds:schemaRef ds:uri="http://schemas.microsoft.com/office/2006/metadata/properties"/>
    <ds:schemaRef ds:uri="http://schemas.microsoft.com/office/infopath/2007/PartnerControls"/>
    <ds:schemaRef ds:uri="8c839e8e-43a8-495c-b831-fdc82008114a"/>
    <ds:schemaRef ds:uri="1b044f03-8eb4-402b-85db-8014812e0fa6"/>
  </ds:schemaRefs>
</ds:datastoreItem>
</file>

<file path=customXml/itemProps3.xml><?xml version="1.0" encoding="utf-8"?>
<ds:datastoreItem xmlns:ds="http://schemas.openxmlformats.org/officeDocument/2006/customXml" ds:itemID="{EF4601A3-E3EB-4115-9938-BA4086ACCF38}">
  <ds:schemaRefs>
    <ds:schemaRef ds:uri="http://schemas.microsoft.com/sharepoint/v3/contenttype/forms"/>
  </ds:schemaRefs>
</ds:datastoreItem>
</file>

<file path=customXml/itemProps4.xml><?xml version="1.0" encoding="utf-8"?>
<ds:datastoreItem xmlns:ds="http://schemas.openxmlformats.org/officeDocument/2006/customXml" ds:itemID="{41DDB197-4843-419D-A056-CD5B0494A0E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IMSM</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Green</dc:creator>
  <cp:keywords/>
  <cp:lastModifiedBy>Dale Minks</cp:lastModifiedBy>
  <cp:revision>9</cp:revision>
  <cp:lastPrinted>2015-07-14T10:43:00Z</cp:lastPrinted>
  <dcterms:created xsi:type="dcterms:W3CDTF">2025-04-25T08:09:00Z</dcterms:created>
  <dcterms:modified xsi:type="dcterms:W3CDTF">2026-06-30T13:36:00Z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2949400.00000000</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0x01010008C54FC8B2B79A46951E33E1961C5E30</vt:lpwstr>
  </property>
  <property fmtid="{D5CDD505-2E9C-101B-9397-08002B2CF9AE}" pid="6" name="MediaServiceImageTags">
    <vt:lpwstr/>
  </property>
</Properties>
</file>